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7D5D" w14:textId="22D9FFBA" w:rsidR="00864E87" w:rsidRPr="00F95F53" w:rsidRDefault="00F95F53">
      <w:pPr>
        <w:rPr>
          <w:rFonts w:ascii="Bookman Old Style" w:hAnsi="Bookman Old Style"/>
          <w:lang w:val="en-US"/>
        </w:rPr>
      </w:pPr>
      <w:r w:rsidRPr="00F95F53">
        <w:rPr>
          <w:rFonts w:ascii="Bookman Old Style" w:hAnsi="Bookman Old Style"/>
          <w:lang w:val="en-US"/>
        </w:rPr>
        <w:t>Dasar Hukum:</w:t>
      </w:r>
    </w:p>
    <w:p w14:paraId="0FCD87BB" w14:textId="77777777" w:rsidR="00F95F53" w:rsidRPr="00F95F53" w:rsidRDefault="00F95F53">
      <w:pPr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8133"/>
      </w:tblGrid>
      <w:tr w:rsidR="00F95F53" w:rsidRPr="00F95F53" w14:paraId="5CCBE7AA" w14:textId="77777777" w:rsidTr="00A23A85">
        <w:tc>
          <w:tcPr>
            <w:tcW w:w="442" w:type="dxa"/>
          </w:tcPr>
          <w:p w14:paraId="64D7576D" w14:textId="77777777" w:rsidR="00F95F53" w:rsidRPr="00F95F53" w:rsidRDefault="00F95F53" w:rsidP="00A23A85">
            <w:pPr>
              <w:pStyle w:val="BodyText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F95F53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8133" w:type="dxa"/>
          </w:tcPr>
          <w:p w14:paraId="3441D66D" w14:textId="77777777" w:rsidR="00F95F53" w:rsidRPr="00F95F53" w:rsidRDefault="00F95F53" w:rsidP="00A23A85">
            <w:pPr>
              <w:tabs>
                <w:tab w:val="left" w:pos="152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RI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12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2012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Pendidikan Tinggi (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2012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158,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5336);</w:t>
            </w:r>
          </w:p>
        </w:tc>
      </w:tr>
      <w:tr w:rsidR="00F95F53" w:rsidRPr="00F95F53" w14:paraId="6D043F2C" w14:textId="77777777" w:rsidTr="00A23A85">
        <w:tc>
          <w:tcPr>
            <w:tcW w:w="442" w:type="dxa"/>
          </w:tcPr>
          <w:p w14:paraId="15835D52" w14:textId="77777777" w:rsidR="00F95F53" w:rsidRPr="00F95F53" w:rsidRDefault="00F95F53" w:rsidP="00A23A85">
            <w:pPr>
              <w:pStyle w:val="BodyText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F95F53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8133" w:type="dxa"/>
          </w:tcPr>
          <w:p w14:paraId="6B9FD03A" w14:textId="77777777" w:rsidR="00F95F53" w:rsidRPr="00F95F53" w:rsidRDefault="00F95F53" w:rsidP="00A23A85">
            <w:pPr>
              <w:tabs>
                <w:tab w:val="left" w:pos="152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4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Penyelenggaraan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Pendidikan Tinggi dan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Perguruan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Tinggi (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16,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5500);</w:t>
            </w:r>
          </w:p>
        </w:tc>
      </w:tr>
      <w:tr w:rsidR="00F95F53" w:rsidRPr="00F95F53" w14:paraId="70E3B60C" w14:textId="77777777" w:rsidTr="00A23A85">
        <w:tc>
          <w:tcPr>
            <w:tcW w:w="442" w:type="dxa"/>
          </w:tcPr>
          <w:p w14:paraId="56F86FCC" w14:textId="77777777" w:rsidR="00F95F53" w:rsidRPr="00F95F53" w:rsidRDefault="00F95F53" w:rsidP="00A23A85">
            <w:pPr>
              <w:pStyle w:val="BodyText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F95F53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8133" w:type="dxa"/>
          </w:tcPr>
          <w:p w14:paraId="13E5C5D8" w14:textId="77777777" w:rsidR="00F95F53" w:rsidRPr="00F95F53" w:rsidRDefault="00F95F53" w:rsidP="00A23A85">
            <w:pPr>
              <w:tabs>
                <w:tab w:val="left" w:pos="152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35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2022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Perguruan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Tinggi Badan Hukum Universitas Negeri Yogyakarta (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2022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207,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6823);</w:t>
            </w:r>
          </w:p>
        </w:tc>
      </w:tr>
      <w:tr w:rsidR="00F95F53" w:rsidRPr="00F95F53" w14:paraId="50693DFA" w14:textId="77777777" w:rsidTr="00A23A85">
        <w:tc>
          <w:tcPr>
            <w:tcW w:w="442" w:type="dxa"/>
          </w:tcPr>
          <w:p w14:paraId="6ACBEE9B" w14:textId="77777777" w:rsidR="00F95F53" w:rsidRPr="00F95F53" w:rsidRDefault="00F95F53" w:rsidP="00A23A85">
            <w:pPr>
              <w:pStyle w:val="BodyText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F95F53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8133" w:type="dxa"/>
          </w:tcPr>
          <w:p w14:paraId="2C8DA114" w14:textId="77777777" w:rsidR="00F95F53" w:rsidRPr="00F95F53" w:rsidRDefault="00F95F53" w:rsidP="00A23A85">
            <w:pPr>
              <w:tabs>
                <w:tab w:val="left" w:pos="152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Keputusan Menteri Pendidikan dan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Kebudayaan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5723/MPK/ RHS/KP/2021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Pengangkatan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Rektor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Universitas Negeri Yogyakarta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Periode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2021-2025;</w:t>
            </w:r>
          </w:p>
        </w:tc>
      </w:tr>
      <w:tr w:rsidR="00F95F53" w:rsidRPr="00F95F53" w14:paraId="49C520E9" w14:textId="77777777" w:rsidTr="00A23A85">
        <w:tc>
          <w:tcPr>
            <w:tcW w:w="442" w:type="dxa"/>
          </w:tcPr>
          <w:p w14:paraId="707B851F" w14:textId="77777777" w:rsidR="00F95F53" w:rsidRPr="00F95F53" w:rsidRDefault="00F95F53" w:rsidP="00A23A85">
            <w:pPr>
              <w:pStyle w:val="BodyText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F95F53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8133" w:type="dxa"/>
          </w:tcPr>
          <w:p w14:paraId="4DAEE647" w14:textId="77777777" w:rsidR="00F95F53" w:rsidRPr="00F95F53" w:rsidRDefault="00F95F53" w:rsidP="00A23A85">
            <w:pPr>
              <w:tabs>
                <w:tab w:val="left" w:pos="152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Rektor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Universitas Negeri Yogyakarta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15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2022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dan Tata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Universitas;</w:t>
            </w:r>
          </w:p>
        </w:tc>
      </w:tr>
      <w:tr w:rsidR="00F95F53" w:rsidRPr="00F95F53" w14:paraId="0F4BFF5A" w14:textId="77777777" w:rsidTr="00A23A85">
        <w:tc>
          <w:tcPr>
            <w:tcW w:w="442" w:type="dxa"/>
          </w:tcPr>
          <w:p w14:paraId="2A8C72CC" w14:textId="77777777" w:rsidR="00F95F53" w:rsidRPr="00F95F53" w:rsidRDefault="00F95F53" w:rsidP="00A23A85">
            <w:pPr>
              <w:pStyle w:val="BodyText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F95F53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8133" w:type="dxa"/>
          </w:tcPr>
          <w:p w14:paraId="691CC204" w14:textId="77777777" w:rsidR="00F95F53" w:rsidRPr="00F95F53" w:rsidRDefault="00F95F53" w:rsidP="00A23A85">
            <w:pPr>
              <w:tabs>
                <w:tab w:val="left" w:pos="152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Keputusan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Rektor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Universitas Negeri Yogyakarta B/1680/UN34/KP.08.01/2023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26 September 2023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Pengangkatan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Dekan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Fakultas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Bahasa,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Seni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, dan </w:t>
            </w:r>
            <w:proofErr w:type="spellStart"/>
            <w:r w:rsidRPr="00F95F53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F95F53">
              <w:rPr>
                <w:rFonts w:ascii="Bookman Old Style" w:hAnsi="Bookman Old Style"/>
                <w:sz w:val="24"/>
                <w:szCs w:val="24"/>
              </w:rPr>
              <w:t xml:space="preserve"> Universitas Negeri Yogyakarta</w:t>
            </w:r>
          </w:p>
        </w:tc>
      </w:tr>
    </w:tbl>
    <w:p w14:paraId="631CD9AB" w14:textId="77777777" w:rsidR="00F95F53" w:rsidRPr="00F95F53" w:rsidRDefault="00F95F53">
      <w:pPr>
        <w:rPr>
          <w:rFonts w:ascii="Bookman Old Style" w:hAnsi="Bookman Old Style"/>
          <w:lang w:val="en-US"/>
        </w:rPr>
      </w:pPr>
    </w:p>
    <w:p w14:paraId="458A09CB" w14:textId="33563571" w:rsidR="00F95F53" w:rsidRPr="00F95F53" w:rsidRDefault="00F95F53">
      <w:pPr>
        <w:rPr>
          <w:rFonts w:ascii="Bookman Old Style" w:hAnsi="Bookman Old Style"/>
          <w:lang w:val="en-US"/>
        </w:rPr>
      </w:pPr>
      <w:proofErr w:type="spellStart"/>
      <w:r w:rsidRPr="00F95F53">
        <w:rPr>
          <w:rFonts w:ascii="Bookman Old Style" w:hAnsi="Bookman Old Style"/>
          <w:lang w:val="en-US"/>
        </w:rPr>
        <w:t>Dst</w:t>
      </w:r>
      <w:proofErr w:type="spellEnd"/>
      <w:r w:rsidRPr="00F95F53">
        <w:rPr>
          <w:rFonts w:ascii="Bookman Old Style" w:hAnsi="Bookman Old Style"/>
          <w:lang w:val="en-US"/>
        </w:rPr>
        <w:t xml:space="preserve"> (</w:t>
      </w:r>
      <w:proofErr w:type="spellStart"/>
      <w:r w:rsidRPr="00F95F53">
        <w:rPr>
          <w:rFonts w:ascii="Bookman Old Style" w:hAnsi="Bookman Old Style"/>
          <w:lang w:val="en-US"/>
        </w:rPr>
        <w:t>tambahkan</w:t>
      </w:r>
      <w:proofErr w:type="spellEnd"/>
      <w:r w:rsidRPr="00F95F53">
        <w:rPr>
          <w:rFonts w:ascii="Bookman Old Style" w:hAnsi="Bookman Old Style"/>
          <w:lang w:val="en-US"/>
        </w:rPr>
        <w:t xml:space="preserve"> </w:t>
      </w:r>
      <w:proofErr w:type="spellStart"/>
      <w:r w:rsidRPr="00F95F53">
        <w:rPr>
          <w:rFonts w:ascii="Bookman Old Style" w:hAnsi="Bookman Old Style"/>
          <w:lang w:val="en-US"/>
        </w:rPr>
        <w:t>peraturan</w:t>
      </w:r>
      <w:proofErr w:type="spellEnd"/>
      <w:r w:rsidRPr="00F95F53">
        <w:rPr>
          <w:rFonts w:ascii="Bookman Old Style" w:hAnsi="Bookman Old Style"/>
          <w:lang w:val="en-US"/>
        </w:rPr>
        <w:t xml:space="preserve"> lain yang </w:t>
      </w:r>
      <w:proofErr w:type="spellStart"/>
      <w:r w:rsidRPr="00F95F53">
        <w:rPr>
          <w:rFonts w:ascii="Bookman Old Style" w:hAnsi="Bookman Old Style"/>
          <w:lang w:val="en-US"/>
        </w:rPr>
        <w:t>relevan</w:t>
      </w:r>
      <w:proofErr w:type="spellEnd"/>
      <w:r w:rsidRPr="00F95F53">
        <w:rPr>
          <w:rFonts w:ascii="Bookman Old Style" w:hAnsi="Bookman Old Style"/>
          <w:lang w:val="en-US"/>
        </w:rPr>
        <w:t xml:space="preserve"> </w:t>
      </w:r>
      <w:proofErr w:type="spellStart"/>
      <w:r w:rsidRPr="00F95F53">
        <w:rPr>
          <w:rFonts w:ascii="Bookman Old Style" w:hAnsi="Bookman Old Style"/>
          <w:lang w:val="en-US"/>
        </w:rPr>
        <w:t>dengan</w:t>
      </w:r>
      <w:proofErr w:type="spellEnd"/>
      <w:r w:rsidRPr="00F95F53">
        <w:rPr>
          <w:rFonts w:ascii="Bookman Old Style" w:hAnsi="Bookman Old Style"/>
          <w:lang w:val="en-US"/>
        </w:rPr>
        <w:t xml:space="preserve"> POB)</w:t>
      </w:r>
    </w:p>
    <w:sectPr w:rsidR="00F95F53" w:rsidRPr="00F95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53"/>
    <w:rsid w:val="00051750"/>
    <w:rsid w:val="00864E87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DAC9F"/>
  <w15:chartTrackingRefBased/>
  <w15:docId w15:val="{C21F4DA5-25E6-BF49-89E8-10A3DA0A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F53"/>
    <w:rPr>
      <w:rFonts w:ascii="Times New Roman" w:eastAsia="Times New Roman" w:hAnsi="Times New Roman" w:cs="Times New Roman"/>
      <w:kern w:val="0"/>
      <w:sz w:val="20"/>
      <w:szCs w:val="2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95F53"/>
    <w:pPr>
      <w:jc w:val="center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F95F53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Nurhadi</dc:creator>
  <cp:keywords/>
  <dc:description/>
  <cp:lastModifiedBy>Arif Nurhadi</cp:lastModifiedBy>
  <cp:revision>1</cp:revision>
  <dcterms:created xsi:type="dcterms:W3CDTF">2024-03-28T08:19:00Z</dcterms:created>
  <dcterms:modified xsi:type="dcterms:W3CDTF">2024-03-28T08:20:00Z</dcterms:modified>
</cp:coreProperties>
</file>